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7C" w:rsidRDefault="0076227C">
      <w:pPr>
        <w:pStyle w:val="ConsPlusTitlePage"/>
      </w:pPr>
      <w:bookmarkStart w:id="0" w:name="_GoBack"/>
      <w:bookmarkEnd w:id="0"/>
      <w:r>
        <w:br/>
      </w:r>
    </w:p>
    <w:p w:rsidR="0076227C" w:rsidRDefault="0076227C">
      <w:pPr>
        <w:pStyle w:val="ConsPlusNormal"/>
        <w:outlineLvl w:val="0"/>
      </w:pPr>
    </w:p>
    <w:p w:rsidR="0076227C" w:rsidRDefault="0076227C">
      <w:pPr>
        <w:pStyle w:val="ConsPlusTitle"/>
        <w:jc w:val="center"/>
      </w:pPr>
      <w:r>
        <w:t>ПРАВИТЕЛЬСТВО ИРКУТСКОЙ ОБЛАСТИ</w:t>
      </w:r>
    </w:p>
    <w:p w:rsidR="0076227C" w:rsidRDefault="0076227C">
      <w:pPr>
        <w:pStyle w:val="ConsPlusTitle"/>
        <w:jc w:val="both"/>
      </w:pPr>
    </w:p>
    <w:p w:rsidR="0076227C" w:rsidRDefault="0076227C">
      <w:pPr>
        <w:pStyle w:val="ConsPlusTitle"/>
        <w:jc w:val="center"/>
      </w:pPr>
      <w:r>
        <w:t>ПОСТАНОВЛЕНИЕ</w:t>
      </w:r>
    </w:p>
    <w:p w:rsidR="0076227C" w:rsidRDefault="0076227C">
      <w:pPr>
        <w:pStyle w:val="ConsPlusTitle"/>
        <w:jc w:val="center"/>
      </w:pPr>
      <w:r>
        <w:t>от 22 января 2019 г. N 23-пп</w:t>
      </w:r>
    </w:p>
    <w:p w:rsidR="0076227C" w:rsidRDefault="0076227C">
      <w:pPr>
        <w:pStyle w:val="ConsPlusTitle"/>
        <w:jc w:val="both"/>
      </w:pPr>
    </w:p>
    <w:p w:rsidR="0076227C" w:rsidRDefault="0076227C">
      <w:pPr>
        <w:pStyle w:val="ConsPlusTitle"/>
        <w:jc w:val="center"/>
      </w:pPr>
      <w:r>
        <w:t xml:space="preserve">О ВНЕСЕНИИ ИЗМЕНЕНИЙ В ГОСУДАРСТВЕННУЮ ПРОГРАММУ </w:t>
      </w:r>
      <w:proofErr w:type="gramStart"/>
      <w:r>
        <w:t>ИРКУТСКОЙ</w:t>
      </w:r>
      <w:proofErr w:type="gramEnd"/>
    </w:p>
    <w:p w:rsidR="0076227C" w:rsidRDefault="0076227C">
      <w:pPr>
        <w:pStyle w:val="ConsPlusTitle"/>
        <w:jc w:val="center"/>
      </w:pPr>
      <w:r>
        <w:t>ОБЛАСТИ "ЭКОНОМИЧЕСКОЕ РАЗВИТИЕ И ИННОВАЦИОННАЯ ЭКОНОМИКА"</w:t>
      </w:r>
    </w:p>
    <w:p w:rsidR="0076227C" w:rsidRDefault="0076227C">
      <w:pPr>
        <w:pStyle w:val="ConsPlusTitle"/>
        <w:jc w:val="center"/>
      </w:pPr>
      <w:r>
        <w:t>НА 2019 - 2024 ГОДЫ</w:t>
      </w:r>
    </w:p>
    <w:p w:rsidR="0076227C" w:rsidRDefault="0076227C">
      <w:pPr>
        <w:pStyle w:val="ConsPlusNormal"/>
        <w:jc w:val="both"/>
      </w:pPr>
    </w:p>
    <w:p w:rsidR="0076227C" w:rsidRDefault="0076227C">
      <w:pPr>
        <w:pStyle w:val="ConsPlusNormal"/>
        <w:ind w:firstLine="540"/>
        <w:jc w:val="both"/>
      </w:pPr>
      <w:r>
        <w:t xml:space="preserve">В соответствии с </w:t>
      </w:r>
      <w:hyperlink r:id="rId5">
        <w:r>
          <w:rPr>
            <w:color w:val="0000FF"/>
          </w:rPr>
          <w:t>пунктом 22</w:t>
        </w:r>
      </w:hyperlink>
      <w:r>
        <w:t xml:space="preserve"> Положения о порядке принятия решений о разработке государственных программ Иркутской области и их формирования и реализации, утвержденного постановлением Правительства Иркутской области от 26 июля 2013 года N 282-пп, руководствуясь </w:t>
      </w:r>
      <w:hyperlink r:id="rId6">
        <w:r>
          <w:rPr>
            <w:color w:val="0000FF"/>
          </w:rPr>
          <w:t>частью 4 статьи 66</w:t>
        </w:r>
      </w:hyperlink>
      <w:r>
        <w:t xml:space="preserve">, </w:t>
      </w:r>
      <w:hyperlink r:id="rId7">
        <w:r>
          <w:rPr>
            <w:color w:val="0000FF"/>
          </w:rPr>
          <w:t>статьей 67</w:t>
        </w:r>
      </w:hyperlink>
      <w:r>
        <w:t xml:space="preserve"> Устава Иркутской области, Правительство Иркутской области постановляет:</w:t>
      </w:r>
    </w:p>
    <w:p w:rsidR="0076227C" w:rsidRDefault="0076227C">
      <w:pPr>
        <w:pStyle w:val="ConsPlusNormal"/>
        <w:jc w:val="both"/>
      </w:pPr>
    </w:p>
    <w:p w:rsidR="0076227C" w:rsidRDefault="0076227C">
      <w:pPr>
        <w:pStyle w:val="ConsPlusNormal"/>
        <w:ind w:firstLine="540"/>
        <w:jc w:val="both"/>
      </w:pPr>
      <w:r>
        <w:t xml:space="preserve">1. Внести в государственную </w:t>
      </w:r>
      <w:hyperlink r:id="rId8">
        <w:r>
          <w:rPr>
            <w:color w:val="0000FF"/>
          </w:rPr>
          <w:t>программу</w:t>
        </w:r>
      </w:hyperlink>
      <w:r>
        <w:t xml:space="preserve"> Иркутской области "Экономическое развитие и инновационная экономика" на 2019 - 2024 годы, утвержденную постановлением Правительства Иркутской области от 12 ноября 2018 года N 828-пп (далее - государственная программа), следующие изменения:</w:t>
      </w:r>
    </w:p>
    <w:p w:rsidR="0076227C" w:rsidRDefault="0076227C">
      <w:pPr>
        <w:pStyle w:val="ConsPlusNormal"/>
        <w:spacing w:before="220"/>
        <w:ind w:firstLine="540"/>
        <w:jc w:val="both"/>
      </w:pPr>
      <w:proofErr w:type="gramStart"/>
      <w:r>
        <w:t xml:space="preserve">1) </w:t>
      </w:r>
      <w:hyperlink r:id="rId9">
        <w:r>
          <w:rPr>
            <w:color w:val="0000FF"/>
          </w:rPr>
          <w:t>раздел II</w:t>
        </w:r>
      </w:hyperlink>
      <w:r>
        <w:t xml:space="preserve"> "МЕРЫ ГОСУДАРСТВЕННОГО РЕГУЛИРОВАНИЯ, НАПРАВЛЕННЫЕ НА ДОСТИЖЕНИЕ ЦЕЛИ И ЗАДАЧ ПОДПРОГРАММЫ" подпрограммы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 являющейся приложением 6 к государственной программе, дополнить абзацами двенадцатым - четырнадцатым следующего содержания:</w:t>
      </w:r>
      <w:proofErr w:type="gramEnd"/>
    </w:p>
    <w:p w:rsidR="0076227C" w:rsidRDefault="0076227C">
      <w:pPr>
        <w:pStyle w:val="ConsPlusNormal"/>
        <w:spacing w:before="220"/>
        <w:ind w:firstLine="540"/>
        <w:jc w:val="both"/>
      </w:pPr>
      <w:r>
        <w:t xml:space="preserve">"В рамках основного мероприятия "Поддержка региональных проектов в сфере информационных технологий" предполагается предоставление Иркутской области за счет средств федерального бюджета субсидии в целях </w:t>
      </w:r>
      <w:proofErr w:type="spellStart"/>
      <w:r>
        <w:t>софинансирования</w:t>
      </w:r>
      <w:proofErr w:type="spellEnd"/>
      <w:r>
        <w:t xml:space="preserve"> расходных обязательств, связанных с реализацией проектов (мероприятий), направленных на становление информационного общества в субъектах Российской Федерации, предусмотренных в государственных программах субъектов Российской Федерации.</w:t>
      </w:r>
    </w:p>
    <w:p w:rsidR="0076227C" w:rsidRDefault="0076227C">
      <w:pPr>
        <w:pStyle w:val="ConsPlusNormal"/>
        <w:spacing w:before="220"/>
        <w:ind w:firstLine="540"/>
        <w:jc w:val="both"/>
      </w:pPr>
      <w:r>
        <w:t xml:space="preserve">Основное мероприятие "Поддержка региональных проектов в сфере информационных технологий" направлено на автоматизацию приоритетных видов регионального государственного контроля (надзора) в целях внедрения </w:t>
      </w:r>
      <w:proofErr w:type="gramStart"/>
      <w:r>
        <w:t>риск-ориентированного</w:t>
      </w:r>
      <w:proofErr w:type="gramEnd"/>
      <w:r>
        <w:t xml:space="preserve"> подхода.</w:t>
      </w:r>
    </w:p>
    <w:p w:rsidR="0076227C" w:rsidRDefault="0076227C">
      <w:pPr>
        <w:pStyle w:val="ConsPlusNormal"/>
        <w:spacing w:before="220"/>
        <w:ind w:firstLine="540"/>
        <w:jc w:val="both"/>
      </w:pPr>
      <w:r>
        <w:t xml:space="preserve">Перечень мероприятий по автоматизации приоритетных видов регионального государственного контроля (надзора) в целях внедрения </w:t>
      </w:r>
      <w:proofErr w:type="gramStart"/>
      <w:r>
        <w:t>риск-ориентированного</w:t>
      </w:r>
      <w:proofErr w:type="gramEnd"/>
      <w:r>
        <w:t xml:space="preserve"> подхода утверждается распоряжением Правительства Иркутской области на основании перечня мероприятий, рекомендуемых Министерством цифрового развития, связи и массовых коммуникаций Российской Федерации";</w:t>
      </w:r>
    </w:p>
    <w:p w:rsidR="0076227C" w:rsidRDefault="0076227C">
      <w:pPr>
        <w:pStyle w:val="ConsPlusNormal"/>
        <w:spacing w:before="220"/>
        <w:ind w:firstLine="540"/>
        <w:jc w:val="both"/>
      </w:pPr>
      <w:proofErr w:type="gramStart"/>
      <w:r>
        <w:t xml:space="preserve">2) в </w:t>
      </w:r>
      <w:hyperlink r:id="rId10">
        <w:r>
          <w:rPr>
            <w:color w:val="0000FF"/>
          </w:rPr>
          <w:t>приложении 10</w:t>
        </w:r>
      </w:hyperlink>
      <w:r>
        <w:t xml:space="preserve"> к государственной программе </w:t>
      </w:r>
      <w:hyperlink r:id="rId11">
        <w:r>
          <w:rPr>
            <w:color w:val="0000FF"/>
          </w:rPr>
          <w:t>строку</w:t>
        </w:r>
      </w:hyperlink>
      <w:r>
        <w:t xml:space="preserve"> "Доля документов, связанных с проведением проверок, осуществляемых органами исполнительной власти субъекта Российской Федерации, уполномоченными на осуществление государственного контроля (надзора) на территории этого субъекта Российской Федерации, по приоритетным видам регионального государственного контроля (надзора), передаваемых в единый реестр проверок с использованием единой системы межведомственного электронного взаимодействия" изложить в следующей редакции:</w:t>
      </w:r>
      <w:proofErr w:type="gramEnd"/>
    </w:p>
    <w:p w:rsidR="0076227C" w:rsidRDefault="0076227C">
      <w:pPr>
        <w:pStyle w:val="ConsPlusNormal"/>
        <w:jc w:val="both"/>
      </w:pPr>
    </w:p>
    <w:p w:rsidR="0076227C" w:rsidRDefault="0076227C">
      <w:pPr>
        <w:pStyle w:val="ConsPlusNormal"/>
      </w:pPr>
      <w:r>
        <w:lastRenderedPageBreak/>
        <w:t>"</w:t>
      </w:r>
    </w:p>
    <w:p w:rsidR="0076227C" w:rsidRDefault="0076227C">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
        <w:gridCol w:w="4195"/>
        <w:gridCol w:w="570"/>
        <w:gridCol w:w="565"/>
        <w:gridCol w:w="566"/>
        <w:gridCol w:w="573"/>
        <w:gridCol w:w="566"/>
        <w:gridCol w:w="566"/>
        <w:gridCol w:w="566"/>
        <w:gridCol w:w="566"/>
      </w:tblGrid>
      <w:tr w:rsidR="0076227C">
        <w:tc>
          <w:tcPr>
            <w:tcW w:w="324" w:type="dxa"/>
            <w:tcBorders>
              <w:top w:val="single" w:sz="4" w:space="0" w:color="auto"/>
              <w:bottom w:val="single" w:sz="4" w:space="0" w:color="auto"/>
            </w:tcBorders>
            <w:vAlign w:val="center"/>
          </w:tcPr>
          <w:p w:rsidR="0076227C" w:rsidRDefault="0076227C">
            <w:pPr>
              <w:pStyle w:val="ConsPlusNormal"/>
              <w:jc w:val="center"/>
            </w:pPr>
            <w:r>
              <w:t>1</w:t>
            </w:r>
          </w:p>
        </w:tc>
        <w:tc>
          <w:tcPr>
            <w:tcW w:w="4195" w:type="dxa"/>
            <w:tcBorders>
              <w:top w:val="single" w:sz="4" w:space="0" w:color="auto"/>
              <w:bottom w:val="single" w:sz="4" w:space="0" w:color="auto"/>
            </w:tcBorders>
            <w:vAlign w:val="center"/>
          </w:tcPr>
          <w:p w:rsidR="0076227C" w:rsidRDefault="0076227C">
            <w:pPr>
              <w:pStyle w:val="ConsPlusNormal"/>
              <w:jc w:val="both"/>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tc>
        <w:tc>
          <w:tcPr>
            <w:tcW w:w="570" w:type="dxa"/>
            <w:tcBorders>
              <w:top w:val="single" w:sz="4" w:space="0" w:color="auto"/>
              <w:bottom w:val="single" w:sz="4" w:space="0" w:color="auto"/>
            </w:tcBorders>
            <w:vAlign w:val="center"/>
          </w:tcPr>
          <w:p w:rsidR="0076227C" w:rsidRDefault="0076227C">
            <w:pPr>
              <w:pStyle w:val="ConsPlusNormal"/>
              <w:jc w:val="center"/>
            </w:pPr>
            <w:r>
              <w:t>%</w:t>
            </w:r>
          </w:p>
        </w:tc>
        <w:tc>
          <w:tcPr>
            <w:tcW w:w="565" w:type="dxa"/>
            <w:tcBorders>
              <w:top w:val="single" w:sz="4" w:space="0" w:color="auto"/>
              <w:bottom w:val="single" w:sz="4" w:space="0" w:color="auto"/>
            </w:tcBorders>
            <w:vAlign w:val="center"/>
          </w:tcPr>
          <w:p w:rsidR="0076227C" w:rsidRDefault="0076227C">
            <w:pPr>
              <w:pStyle w:val="ConsPlusNormal"/>
              <w:jc w:val="center"/>
            </w:pPr>
            <w:r>
              <w:t>-</w:t>
            </w:r>
          </w:p>
        </w:tc>
        <w:tc>
          <w:tcPr>
            <w:tcW w:w="566" w:type="dxa"/>
            <w:tcBorders>
              <w:top w:val="single" w:sz="4" w:space="0" w:color="auto"/>
              <w:bottom w:val="single" w:sz="4" w:space="0" w:color="auto"/>
            </w:tcBorders>
            <w:vAlign w:val="center"/>
          </w:tcPr>
          <w:p w:rsidR="0076227C" w:rsidRDefault="0076227C">
            <w:pPr>
              <w:pStyle w:val="ConsPlusNormal"/>
              <w:jc w:val="center"/>
            </w:pPr>
            <w:r>
              <w:t>-</w:t>
            </w:r>
          </w:p>
        </w:tc>
        <w:tc>
          <w:tcPr>
            <w:tcW w:w="573" w:type="dxa"/>
            <w:tcBorders>
              <w:top w:val="single" w:sz="4" w:space="0" w:color="auto"/>
              <w:bottom w:val="single" w:sz="4" w:space="0" w:color="auto"/>
            </w:tcBorders>
            <w:vAlign w:val="center"/>
          </w:tcPr>
          <w:p w:rsidR="0076227C" w:rsidRDefault="0076227C">
            <w:pPr>
              <w:pStyle w:val="ConsPlusNormal"/>
              <w:jc w:val="center"/>
            </w:pPr>
            <w:r>
              <w:t>75</w:t>
            </w:r>
          </w:p>
        </w:tc>
        <w:tc>
          <w:tcPr>
            <w:tcW w:w="566" w:type="dxa"/>
            <w:tcBorders>
              <w:top w:val="single" w:sz="4" w:space="0" w:color="auto"/>
              <w:bottom w:val="single" w:sz="4" w:space="0" w:color="auto"/>
            </w:tcBorders>
            <w:vAlign w:val="center"/>
          </w:tcPr>
          <w:p w:rsidR="0076227C" w:rsidRDefault="0076227C">
            <w:pPr>
              <w:pStyle w:val="ConsPlusNormal"/>
              <w:jc w:val="center"/>
            </w:pPr>
            <w:r>
              <w:t>-</w:t>
            </w:r>
          </w:p>
        </w:tc>
        <w:tc>
          <w:tcPr>
            <w:tcW w:w="566" w:type="dxa"/>
            <w:tcBorders>
              <w:top w:val="single" w:sz="4" w:space="0" w:color="auto"/>
              <w:bottom w:val="single" w:sz="4" w:space="0" w:color="auto"/>
            </w:tcBorders>
            <w:vAlign w:val="center"/>
          </w:tcPr>
          <w:p w:rsidR="0076227C" w:rsidRDefault="0076227C">
            <w:pPr>
              <w:pStyle w:val="ConsPlusNormal"/>
              <w:jc w:val="center"/>
            </w:pPr>
            <w:r>
              <w:t>-</w:t>
            </w:r>
          </w:p>
        </w:tc>
        <w:tc>
          <w:tcPr>
            <w:tcW w:w="566" w:type="dxa"/>
            <w:tcBorders>
              <w:top w:val="single" w:sz="4" w:space="0" w:color="auto"/>
              <w:bottom w:val="single" w:sz="4" w:space="0" w:color="auto"/>
            </w:tcBorders>
            <w:vAlign w:val="center"/>
          </w:tcPr>
          <w:p w:rsidR="0076227C" w:rsidRDefault="0076227C">
            <w:pPr>
              <w:pStyle w:val="ConsPlusNormal"/>
              <w:jc w:val="center"/>
            </w:pPr>
            <w:r>
              <w:t>-</w:t>
            </w:r>
          </w:p>
        </w:tc>
        <w:tc>
          <w:tcPr>
            <w:tcW w:w="566" w:type="dxa"/>
            <w:tcBorders>
              <w:top w:val="single" w:sz="4" w:space="0" w:color="auto"/>
              <w:bottom w:val="single" w:sz="4" w:space="0" w:color="auto"/>
            </w:tcBorders>
            <w:vAlign w:val="center"/>
          </w:tcPr>
          <w:p w:rsidR="0076227C" w:rsidRDefault="0076227C">
            <w:pPr>
              <w:pStyle w:val="ConsPlusNormal"/>
              <w:jc w:val="center"/>
            </w:pPr>
            <w:r>
              <w:t>-</w:t>
            </w:r>
          </w:p>
        </w:tc>
      </w:tr>
    </w:tbl>
    <w:p w:rsidR="0076227C" w:rsidRDefault="0076227C">
      <w:pPr>
        <w:pStyle w:val="ConsPlusNormal"/>
        <w:jc w:val="right"/>
      </w:pPr>
      <w:r>
        <w:t>";</w:t>
      </w:r>
    </w:p>
    <w:p w:rsidR="0076227C" w:rsidRDefault="0076227C">
      <w:pPr>
        <w:pStyle w:val="ConsPlusNormal"/>
        <w:jc w:val="both"/>
      </w:pPr>
    </w:p>
    <w:p w:rsidR="0076227C" w:rsidRDefault="0076227C">
      <w:pPr>
        <w:pStyle w:val="ConsPlusNormal"/>
        <w:ind w:firstLine="540"/>
        <w:jc w:val="both"/>
      </w:pPr>
      <w:r>
        <w:t xml:space="preserve">3) </w:t>
      </w:r>
      <w:hyperlink r:id="rId12">
        <w:r>
          <w:rPr>
            <w:color w:val="0000FF"/>
          </w:rPr>
          <w:t>пункт 7.5</w:t>
        </w:r>
      </w:hyperlink>
      <w:r>
        <w:t xml:space="preserve"> приложения 14 к государственной программе изложить в следующей редакции:</w:t>
      </w:r>
    </w:p>
    <w:p w:rsidR="0076227C" w:rsidRDefault="0076227C">
      <w:pPr>
        <w:pStyle w:val="ConsPlusNormal"/>
        <w:spacing w:before="220"/>
        <w:ind w:firstLine="540"/>
        <w:jc w:val="both"/>
      </w:pPr>
      <w:r>
        <w:t>"7.5. Показатель основного мероприятия "Поддержка региональных проектов в сфере информационных технологий" на 2019 год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рассчитывается по формуле:</w:t>
      </w:r>
    </w:p>
    <w:p w:rsidR="0076227C" w:rsidRDefault="0076227C">
      <w:pPr>
        <w:pStyle w:val="ConsPlusNormal"/>
        <w:jc w:val="both"/>
      </w:pPr>
    </w:p>
    <w:p w:rsidR="0076227C" w:rsidRDefault="0076227C">
      <w:pPr>
        <w:pStyle w:val="ConsPlusNormal"/>
        <w:jc w:val="center"/>
      </w:pPr>
      <w:r>
        <w:rPr>
          <w:noProof/>
          <w:position w:val="-26"/>
        </w:rPr>
        <w:drawing>
          <wp:inline distT="0" distB="0" distL="0" distR="0">
            <wp:extent cx="118427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275" cy="471805"/>
                    </a:xfrm>
                    <a:prstGeom prst="rect">
                      <a:avLst/>
                    </a:prstGeom>
                    <a:noFill/>
                    <a:ln>
                      <a:noFill/>
                    </a:ln>
                  </pic:spPr>
                </pic:pic>
              </a:graphicData>
            </a:graphic>
          </wp:inline>
        </w:drawing>
      </w:r>
    </w:p>
    <w:p w:rsidR="0076227C" w:rsidRDefault="0076227C">
      <w:pPr>
        <w:pStyle w:val="ConsPlusNormal"/>
        <w:jc w:val="both"/>
      </w:pPr>
    </w:p>
    <w:p w:rsidR="0076227C" w:rsidRDefault="0076227C">
      <w:pPr>
        <w:pStyle w:val="ConsPlusNormal"/>
        <w:ind w:firstLine="540"/>
        <w:jc w:val="both"/>
      </w:pPr>
      <w:r>
        <w:t>где:</w:t>
      </w:r>
    </w:p>
    <w:p w:rsidR="0076227C" w:rsidRDefault="0076227C">
      <w:pPr>
        <w:pStyle w:val="ConsPlusNormal"/>
        <w:spacing w:before="220"/>
        <w:ind w:firstLine="540"/>
        <w:jc w:val="both"/>
      </w:pPr>
      <w:proofErr w:type="spellStart"/>
      <w:proofErr w:type="gramStart"/>
      <w:r>
        <w:t>D</w:t>
      </w:r>
      <w:proofErr w:type="gramEnd"/>
      <w:r>
        <w:rPr>
          <w:vertAlign w:val="subscript"/>
        </w:rPr>
        <w:t>пмв</w:t>
      </w:r>
      <w:proofErr w:type="spellEnd"/>
      <w:r>
        <w:t xml:space="preserve"> -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w:t>
      </w:r>
    </w:p>
    <w:p w:rsidR="0076227C" w:rsidRDefault="0076227C">
      <w:pPr>
        <w:pStyle w:val="ConsPlusNormal"/>
        <w:spacing w:before="220"/>
        <w:ind w:firstLine="540"/>
        <w:jc w:val="both"/>
      </w:pPr>
      <w:proofErr w:type="spellStart"/>
      <w:proofErr w:type="gramStart"/>
      <w:r>
        <w:t>К</w:t>
      </w:r>
      <w:r>
        <w:rPr>
          <w:vertAlign w:val="subscript"/>
        </w:rPr>
        <w:t>пз</w:t>
      </w:r>
      <w:proofErr w:type="spellEnd"/>
      <w:r>
        <w:t xml:space="preserve"> - количество проверок, при организации и проведении которых в рамках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получены сведения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t xml:space="preserve"> сведения, единиц;</w:t>
      </w:r>
    </w:p>
    <w:p w:rsidR="0076227C" w:rsidRDefault="0076227C">
      <w:pPr>
        <w:pStyle w:val="ConsPlusNormal"/>
        <w:spacing w:before="220"/>
        <w:ind w:firstLine="540"/>
        <w:jc w:val="both"/>
      </w:pPr>
      <w:proofErr w:type="spellStart"/>
      <w:r>
        <w:t>К</w:t>
      </w:r>
      <w:r>
        <w:rPr>
          <w:vertAlign w:val="subscript"/>
        </w:rPr>
        <w:t>п</w:t>
      </w:r>
      <w:proofErr w:type="spellEnd"/>
      <w:r>
        <w:t xml:space="preserve"> - общее количество проверок, в рамках которых сведения подлежат получению по каналам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единиц".</w:t>
      </w:r>
    </w:p>
    <w:p w:rsidR="0076227C" w:rsidRDefault="0076227C">
      <w:pPr>
        <w:pStyle w:val="ConsPlusNormal"/>
        <w:jc w:val="both"/>
      </w:pPr>
    </w:p>
    <w:p w:rsidR="0076227C" w:rsidRDefault="0076227C">
      <w:pPr>
        <w:pStyle w:val="ConsPlusNormal"/>
        <w:ind w:firstLine="540"/>
        <w:jc w:val="both"/>
      </w:pPr>
      <w:r>
        <w:t>2. Настоящее постановление подлежит официальному опубликованию на "</w:t>
      </w:r>
      <w:proofErr w:type="gramStart"/>
      <w:r>
        <w:t>Официальном</w:t>
      </w:r>
      <w:proofErr w:type="gramEnd"/>
      <w:r>
        <w:t xml:space="preserve"> интернет-портале правовой информации" (www.pravo.gov.ru).</w:t>
      </w:r>
    </w:p>
    <w:p w:rsidR="0076227C" w:rsidRDefault="0076227C">
      <w:pPr>
        <w:pStyle w:val="ConsPlusNormal"/>
        <w:jc w:val="both"/>
      </w:pPr>
    </w:p>
    <w:p w:rsidR="0076227C" w:rsidRDefault="0076227C">
      <w:pPr>
        <w:pStyle w:val="ConsPlusNormal"/>
        <w:jc w:val="right"/>
      </w:pPr>
      <w:r>
        <w:t>Первый заместитель Губернатора Иркутской области -</w:t>
      </w:r>
    </w:p>
    <w:p w:rsidR="0076227C" w:rsidRDefault="0076227C">
      <w:pPr>
        <w:pStyle w:val="ConsPlusNormal"/>
        <w:jc w:val="right"/>
      </w:pPr>
      <w:r>
        <w:t>Председатель Правительства Иркутской области</w:t>
      </w:r>
    </w:p>
    <w:p w:rsidR="0076227C" w:rsidRDefault="0076227C">
      <w:pPr>
        <w:pStyle w:val="ConsPlusNormal"/>
        <w:jc w:val="right"/>
      </w:pPr>
      <w:r>
        <w:t>Р.Н.БОЛОТОВ</w:t>
      </w:r>
    </w:p>
    <w:p w:rsidR="0076227C" w:rsidRDefault="0076227C">
      <w:pPr>
        <w:pStyle w:val="ConsPlusNormal"/>
        <w:jc w:val="both"/>
      </w:pPr>
    </w:p>
    <w:p w:rsidR="0076227C" w:rsidRDefault="0076227C">
      <w:pPr>
        <w:pStyle w:val="ConsPlusNormal"/>
        <w:jc w:val="both"/>
      </w:pPr>
    </w:p>
    <w:p w:rsidR="0076227C" w:rsidRDefault="0076227C">
      <w:pPr>
        <w:pStyle w:val="ConsPlusNormal"/>
        <w:pBdr>
          <w:bottom w:val="single" w:sz="6" w:space="0" w:color="auto"/>
        </w:pBdr>
        <w:spacing w:before="100" w:after="100"/>
        <w:jc w:val="both"/>
        <w:rPr>
          <w:sz w:val="2"/>
          <w:szCs w:val="2"/>
        </w:rPr>
      </w:pPr>
    </w:p>
    <w:p w:rsidR="00F1658D" w:rsidRDefault="00F1658D"/>
    <w:sectPr w:rsidR="00F1658D" w:rsidSect="00383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7C"/>
    <w:rsid w:val="0071483E"/>
    <w:rsid w:val="0076227C"/>
    <w:rsid w:val="007C6256"/>
    <w:rsid w:val="00F1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2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6227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6227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622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2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6227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6227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622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573DC5297ACCED78C019320E1D6A24E0DA31E7B896F171E599AE83C7A605F7ABD17ABBCF6FA51D85146A06CF4F691D32876D73A10F9867C056100B8qBB"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7E3573DC5297ACCED78C019320E1D6A24E0DA31E7B88651518589AE83C7A605F7ABD17ABBCF6FA51D85143A269F4F691D32876D73A10F9867C056100B8qBB" TargetMode="External"/><Relationship Id="rId12" Type="http://schemas.openxmlformats.org/officeDocument/2006/relationships/hyperlink" Target="consultantplus://offline/ref=7E3573DC5297ACCED78C019320E1D6A24E0DA31E7B896F171E599AE83C7A605F7ABD17ABBCF6FA51D85046A668F4F691D32876D73A10F9867C056100B8qB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3573DC5297ACCED78C019320E1D6A24E0DA31E7B88651518589AE83C7A605F7ABD17ABBCF6FA54DA5A12F52EAAAFC19E637BD02D0CF982B6q1B" TargetMode="External"/><Relationship Id="rId11" Type="http://schemas.openxmlformats.org/officeDocument/2006/relationships/hyperlink" Target="consultantplus://offline/ref=7E3573DC5297ACCED78C019320E1D6A24E0DA31E7B896F171E599AE83C7A605F7ABD17ABBCF6FA51D30517E03FF2A3C9897D7DC8310EFBB8q3B" TargetMode="External"/><Relationship Id="rId5" Type="http://schemas.openxmlformats.org/officeDocument/2006/relationships/hyperlink" Target="consultantplus://offline/ref=7E3573DC5297ACCED78C019320E1D6A24E0DA31E7B896F1517539AE83C7A605F7ABD17ABBCF6FA51D8504EA263F4F691D32876D73A10F9867C056100B8qBB" TargetMode="External"/><Relationship Id="rId15" Type="http://schemas.openxmlformats.org/officeDocument/2006/relationships/theme" Target="theme/theme1.xml"/><Relationship Id="rId10" Type="http://schemas.openxmlformats.org/officeDocument/2006/relationships/hyperlink" Target="consultantplus://offline/ref=7E3573DC5297ACCED78C019320E1D6A24E0DA31E7B896F171E599AE83C7A605F7ABD17ABBCF6FA51D8514EA56FF4F691D32876D73A10F9867C056100B8qBB" TargetMode="External"/><Relationship Id="rId4" Type="http://schemas.openxmlformats.org/officeDocument/2006/relationships/webSettings" Target="webSettings.xml"/><Relationship Id="rId9" Type="http://schemas.openxmlformats.org/officeDocument/2006/relationships/hyperlink" Target="consultantplus://offline/ref=7E3573DC5297ACCED78C019320E1D6A24E0DA31E7B896F171E599AE83C7A605F7ABD17ABBCF6FA51D85140A16BF4F691D32876D73A10F9867C056100B8qB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2023-06-19T01:41:00Z</dcterms:created>
  <dcterms:modified xsi:type="dcterms:W3CDTF">2023-06-19T01:42:00Z</dcterms:modified>
</cp:coreProperties>
</file>